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val="en-US" w:eastAsia="zh-CN"/>
        </w:rPr>
      </w:pPr>
      <w:bookmarkStart w:id="0" w:name="_GoBack"/>
      <w:bookmarkEnd w:id="0"/>
    </w:p>
    <w:p>
      <w:pPr>
        <w:jc w:val="center"/>
        <w:rPr>
          <w:rFonts w:hint="eastAsia"/>
          <w:b/>
          <w:bCs/>
          <w:sz w:val="36"/>
          <w:szCs w:val="44"/>
          <w:lang w:val="en-US" w:eastAsia="zh-CN"/>
        </w:rPr>
      </w:pPr>
      <w:r>
        <w:rPr>
          <w:rFonts w:hint="eastAsia"/>
          <w:b/>
          <w:bCs/>
          <w:sz w:val="36"/>
          <w:szCs w:val="44"/>
          <w:lang w:val="en-US" w:eastAsia="zh-CN"/>
        </w:rPr>
        <w:t>评分标准</w:t>
      </w:r>
    </w:p>
    <w:tbl>
      <w:tblPr>
        <w:tblStyle w:val="2"/>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720"/>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b/>
                <w:color w:val="000000"/>
                <w:sz w:val="21"/>
              </w:rPr>
              <w:t>评分因素</w:t>
            </w:r>
          </w:p>
        </w:tc>
        <w:tc>
          <w:tcPr>
            <w:tcW w:w="720" w:type="dxa"/>
            <w:tcMar>
              <w:top w:w="20" w:type="dxa"/>
              <w:left w:w="20" w:type="dxa"/>
              <w:bottom w:w="20" w:type="dxa"/>
              <w:right w:w="20" w:type="dxa"/>
            </w:tcMar>
            <w:vAlign w:val="center"/>
          </w:tcPr>
          <w:p>
            <w:pPr>
              <w:wordWrap w:val="0"/>
              <w:spacing w:line="378" w:lineRule="exact"/>
              <w:jc w:val="center"/>
            </w:pPr>
            <w:r>
              <w:rPr>
                <w:rFonts w:ascii="宋体" w:hAnsi="宋体" w:eastAsia="宋体" w:cs="宋体"/>
                <w:b/>
                <w:color w:val="000000"/>
                <w:sz w:val="21"/>
              </w:rPr>
              <w:t>分值</w:t>
            </w:r>
          </w:p>
        </w:tc>
        <w:tc>
          <w:tcPr>
            <w:tcW w:w="7350" w:type="dxa"/>
            <w:tcMar>
              <w:top w:w="20" w:type="dxa"/>
              <w:left w:w="20" w:type="dxa"/>
              <w:bottom w:w="20" w:type="dxa"/>
              <w:right w:w="20" w:type="dxa"/>
            </w:tcMar>
            <w:vAlign w:val="center"/>
          </w:tcPr>
          <w:p>
            <w:pPr>
              <w:wordWrap w:val="0"/>
              <w:spacing w:line="378" w:lineRule="exact"/>
              <w:jc w:val="center"/>
            </w:pPr>
            <w:r>
              <w:rPr>
                <w:rFonts w:ascii="宋体" w:hAnsi="宋体" w:eastAsia="宋体" w:cs="宋体"/>
                <w:b/>
                <w:color w:val="000000"/>
                <w:sz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投标报价</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25</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b/>
                <w:color w:val="000000"/>
                <w:sz w:val="21"/>
              </w:rPr>
              <w:t>投标最低报价为评标基准价</w:t>
            </w:r>
            <w:r>
              <w:rPr>
                <w:rFonts w:ascii="宋体" w:hAnsi="宋体" w:eastAsia="宋体" w:cs="宋体"/>
                <w:color w:val="000000"/>
                <w:sz w:val="21"/>
              </w:rPr>
              <w:t>：满足招标文件要求且投标价格最低的投标报价为评标基准价，其价格分为满分。其他投标人的价格分统一按照下列公式计算：投标报价得分=(评标基准价/投标报价)×25。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拟投入物资情况</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11</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color w:val="000000"/>
                <w:sz w:val="21"/>
              </w:rPr>
              <w:t>（1）根据供应商提供的物品（帐篷、桌椅实物照片）的状况进行综合评分。</w:t>
            </w:r>
          </w:p>
          <w:p>
            <w:pPr>
              <w:wordWrap w:val="0"/>
              <w:spacing w:before="0" w:after="0" w:line="378" w:lineRule="exact"/>
              <w:jc w:val="left"/>
            </w:pPr>
            <w:r>
              <w:rPr>
                <w:rFonts w:ascii="宋体" w:hAnsi="宋体" w:eastAsia="宋体" w:cs="宋体"/>
                <w:color w:val="000000"/>
                <w:sz w:val="21"/>
              </w:rPr>
              <w:t>照片材料齐全，帐篷、桌椅干净整洁、颜色统一、成色新得6分；</w:t>
            </w:r>
          </w:p>
          <w:p>
            <w:pPr>
              <w:wordWrap w:val="0"/>
              <w:spacing w:before="0" w:after="0" w:line="378" w:lineRule="exact"/>
              <w:jc w:val="left"/>
            </w:pPr>
            <w:r>
              <w:rPr>
                <w:rFonts w:ascii="宋体" w:hAnsi="宋体" w:eastAsia="宋体" w:cs="宋体"/>
                <w:color w:val="000000"/>
                <w:sz w:val="21"/>
              </w:rPr>
              <w:t>材料有疏漏，帐篷、桌椅颜色统一但较为污损、成色陈旧得3分；</w:t>
            </w:r>
          </w:p>
          <w:p>
            <w:pPr>
              <w:wordWrap w:val="0"/>
              <w:spacing w:before="0" w:after="0" w:line="378" w:lineRule="exact"/>
              <w:jc w:val="left"/>
            </w:pPr>
            <w:r>
              <w:rPr>
                <w:rFonts w:ascii="宋体" w:hAnsi="宋体" w:eastAsia="宋体" w:cs="宋体"/>
                <w:color w:val="000000"/>
                <w:sz w:val="21"/>
              </w:rPr>
              <w:t>不提供或者提供材料显示物资颜色不统一的不得分。</w:t>
            </w:r>
          </w:p>
          <w:p>
            <w:pPr>
              <w:wordWrap w:val="0"/>
              <w:spacing w:before="0" w:after="0" w:line="378" w:lineRule="exact"/>
              <w:jc w:val="left"/>
            </w:pPr>
            <w:r>
              <w:rPr>
                <w:rFonts w:ascii="宋体" w:hAnsi="宋体" w:eastAsia="宋体" w:cs="宋体"/>
                <w:color w:val="000000"/>
                <w:sz w:val="21"/>
              </w:rPr>
              <w:t>（2）供应商提供的物资（帐篷和桌椅）如全部为本公司资产的得5分；（提供购买帐篷和桌椅的发票复印件加盖公章，原件备查）；</w:t>
            </w:r>
          </w:p>
          <w:p>
            <w:pPr>
              <w:wordWrap w:val="0"/>
              <w:spacing w:before="0" w:after="0" w:line="378" w:lineRule="exact"/>
              <w:jc w:val="left"/>
            </w:pPr>
            <w:r>
              <w:rPr>
                <w:rFonts w:ascii="宋体" w:hAnsi="宋体" w:eastAsia="宋体" w:cs="宋体"/>
                <w:color w:val="000000"/>
                <w:sz w:val="21"/>
              </w:rPr>
              <w:t>供应商提供的物资（帐篷和桌椅）如为第三方所有的得2分。（提供帐篷和桌椅的租赁合同复印件或者相关合作关系证明并加盖公章，原件备查）</w:t>
            </w:r>
          </w:p>
          <w:p>
            <w:pPr>
              <w:wordWrap w:val="0"/>
              <w:spacing w:before="0" w:after="0" w:line="378" w:lineRule="exact"/>
              <w:jc w:val="left"/>
            </w:pPr>
            <w:r>
              <w:rPr>
                <w:rFonts w:ascii="宋体" w:hAnsi="宋体" w:eastAsia="宋体" w:cs="宋体"/>
                <w:color w:val="000000"/>
                <w:sz w:val="21"/>
              </w:rPr>
              <w:t>其他或未提供不得分。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整体实施方案</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10</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color w:val="000000"/>
                <w:sz w:val="21"/>
              </w:rPr>
              <w:t>供应商应根据采购文件要求及本项目特点，提供整体实施方案（包括前期准备工作、运输安排、现场布置方案、现场紧急情况处理、会后安排等）</w:t>
            </w:r>
          </w:p>
          <w:p>
            <w:pPr>
              <w:wordWrap w:val="0"/>
              <w:spacing w:before="0" w:after="0" w:line="378" w:lineRule="exact"/>
              <w:jc w:val="left"/>
            </w:pPr>
            <w:r>
              <w:rPr>
                <w:rFonts w:ascii="宋体" w:hAnsi="宋体" w:eastAsia="宋体" w:cs="宋体"/>
                <w:color w:val="000000"/>
                <w:sz w:val="21"/>
              </w:rPr>
              <w:t>方案内容详细完整、考虑周全且服务质量高得10分，</w:t>
            </w:r>
          </w:p>
          <w:p>
            <w:pPr>
              <w:wordWrap w:val="0"/>
              <w:spacing w:before="0" w:after="0" w:line="378" w:lineRule="exact"/>
              <w:jc w:val="left"/>
            </w:pPr>
            <w:r>
              <w:rPr>
                <w:rFonts w:ascii="宋体" w:hAnsi="宋体" w:eastAsia="宋体" w:cs="宋体"/>
                <w:color w:val="000000"/>
                <w:sz w:val="21"/>
              </w:rPr>
              <w:t>方案内容较详细、考虑较周全，不存在遗漏得7分，</w:t>
            </w:r>
          </w:p>
          <w:p>
            <w:pPr>
              <w:wordWrap w:val="0"/>
              <w:spacing w:before="0" w:after="0" w:line="378" w:lineRule="exact"/>
              <w:jc w:val="left"/>
            </w:pPr>
            <w:r>
              <w:rPr>
                <w:rFonts w:ascii="宋体" w:hAnsi="宋体" w:eastAsia="宋体" w:cs="宋体"/>
                <w:color w:val="000000"/>
                <w:sz w:val="21"/>
              </w:rPr>
              <w:t>方案内容不够详细、存在服务内容缺失得4分，</w:t>
            </w:r>
          </w:p>
          <w:p>
            <w:pPr>
              <w:wordWrap w:val="0"/>
              <w:spacing w:before="0" w:after="0" w:line="378" w:lineRule="exact"/>
              <w:jc w:val="left"/>
            </w:pPr>
            <w:r>
              <w:rPr>
                <w:rFonts w:ascii="宋体" w:hAnsi="宋体" w:eastAsia="宋体" w:cs="宋体"/>
                <w:color w:val="000000"/>
                <w:sz w:val="21"/>
              </w:rPr>
              <w:t>其他或未提供的不得分。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应急预案</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10</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color w:val="000000"/>
                <w:sz w:val="21"/>
              </w:rPr>
              <w:t>根据供应商提供的项目应急预案进行评分：</w:t>
            </w:r>
          </w:p>
          <w:p>
            <w:pPr>
              <w:wordWrap w:val="0"/>
              <w:spacing w:before="0" w:after="0" w:line="378" w:lineRule="exact"/>
              <w:jc w:val="left"/>
            </w:pPr>
            <w:r>
              <w:rPr>
                <w:rFonts w:ascii="宋体" w:hAnsi="宋体" w:eastAsia="宋体" w:cs="宋体"/>
                <w:color w:val="000000"/>
                <w:sz w:val="21"/>
              </w:rPr>
              <w:t>应急预案针对如遇恶劣天气条件（大风、暴雨等），游园会转至室内举办的情况。因情况变化导致的计划改变，供应商根据实际情况进行应急预案设计。</w:t>
            </w:r>
          </w:p>
          <w:p>
            <w:pPr>
              <w:wordWrap w:val="0"/>
              <w:spacing w:before="0" w:after="0" w:line="378" w:lineRule="exact"/>
              <w:jc w:val="left"/>
            </w:pPr>
            <w:r>
              <w:rPr>
                <w:rFonts w:ascii="宋体" w:hAnsi="宋体" w:eastAsia="宋体" w:cs="宋体"/>
                <w:color w:val="000000"/>
                <w:sz w:val="21"/>
              </w:rPr>
              <w:t>应急预案实用、经济、切实可行得10分；</w:t>
            </w:r>
          </w:p>
          <w:p>
            <w:pPr>
              <w:wordWrap w:val="0"/>
              <w:spacing w:before="0" w:after="0" w:line="378" w:lineRule="exact"/>
              <w:jc w:val="left"/>
            </w:pPr>
            <w:r>
              <w:rPr>
                <w:rFonts w:ascii="宋体" w:hAnsi="宋体" w:eastAsia="宋体" w:cs="宋体"/>
                <w:color w:val="000000"/>
                <w:sz w:val="21"/>
              </w:rPr>
              <w:t>应急预案基本实用、但不经济、基本可行得7分；</w:t>
            </w:r>
          </w:p>
          <w:p>
            <w:pPr>
              <w:wordWrap w:val="0"/>
              <w:spacing w:before="0" w:after="0" w:line="378" w:lineRule="exact"/>
              <w:jc w:val="left"/>
            </w:pPr>
            <w:r>
              <w:rPr>
                <w:rFonts w:ascii="宋体" w:hAnsi="宋体" w:eastAsia="宋体" w:cs="宋体"/>
                <w:color w:val="000000"/>
                <w:sz w:val="21"/>
              </w:rPr>
              <w:t>应急预案不实用、不经济、可行性差得4分；</w:t>
            </w:r>
          </w:p>
          <w:p>
            <w:pPr>
              <w:wordWrap w:val="0"/>
              <w:spacing w:before="0" w:after="0" w:line="378" w:lineRule="exact"/>
              <w:jc w:val="left"/>
            </w:pPr>
            <w:r>
              <w:rPr>
                <w:rFonts w:ascii="宋体" w:hAnsi="宋体" w:eastAsia="宋体" w:cs="宋体"/>
                <w:color w:val="000000"/>
                <w:sz w:val="21"/>
              </w:rPr>
              <w:t>其他或未提供不得分。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人员配备</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10</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color w:val="000000"/>
                <w:sz w:val="21"/>
              </w:rPr>
              <w:t>根据供应商提供的本项目拟投入的人员配备情况（人员配备是否充足，分工是否明确、分配是否合理等）进行评分：</w:t>
            </w:r>
          </w:p>
          <w:p>
            <w:pPr>
              <w:wordWrap w:val="0"/>
              <w:spacing w:before="0" w:after="0" w:line="378" w:lineRule="exact"/>
              <w:jc w:val="left"/>
            </w:pPr>
            <w:r>
              <w:rPr>
                <w:rFonts w:ascii="宋体" w:hAnsi="宋体" w:eastAsia="宋体" w:cs="宋体"/>
                <w:color w:val="000000"/>
                <w:sz w:val="21"/>
              </w:rPr>
              <w:t>人员安排合理、拟安排人员经验丰富且综合素质高得10分；</w:t>
            </w:r>
          </w:p>
          <w:p>
            <w:pPr>
              <w:wordWrap w:val="0"/>
              <w:spacing w:before="0" w:after="0" w:line="378" w:lineRule="exact"/>
              <w:jc w:val="left"/>
            </w:pPr>
            <w:r>
              <w:rPr>
                <w:rFonts w:ascii="宋体" w:hAnsi="宋体" w:eastAsia="宋体" w:cs="宋体"/>
                <w:color w:val="000000"/>
                <w:sz w:val="21"/>
              </w:rPr>
              <w:t>人员安排能够满足采购需求、人员经验尚可，综合素质尚可得7分；</w:t>
            </w:r>
          </w:p>
          <w:p>
            <w:pPr>
              <w:wordWrap w:val="0"/>
              <w:spacing w:before="0" w:after="0" w:line="378" w:lineRule="exact"/>
              <w:jc w:val="left"/>
            </w:pPr>
            <w:r>
              <w:rPr>
                <w:rFonts w:ascii="宋体" w:hAnsi="宋体" w:eastAsia="宋体" w:cs="宋体"/>
                <w:color w:val="000000"/>
                <w:sz w:val="21"/>
              </w:rPr>
              <w:t>人员安排合理性一般、经验一般、综合素质一般得4分；</w:t>
            </w:r>
          </w:p>
          <w:p>
            <w:pPr>
              <w:wordWrap w:val="0"/>
              <w:spacing w:before="0" w:after="0" w:line="378" w:lineRule="exact"/>
              <w:jc w:val="left"/>
            </w:pPr>
            <w:r>
              <w:rPr>
                <w:rFonts w:ascii="宋体" w:hAnsi="宋体" w:eastAsia="宋体" w:cs="宋体"/>
                <w:color w:val="000000"/>
                <w:sz w:val="21"/>
              </w:rPr>
              <w:t>其他或未提供不得分。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设计方案</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10</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color w:val="000000"/>
                <w:sz w:val="21"/>
              </w:rPr>
              <w:t>供应商提交对本项目会展平面布置图、主题背景桁架、企业一览表桁架设计制作模板的电子版（随U盘递交），评审专家根据以上内容进行综合打分。</w:t>
            </w:r>
          </w:p>
          <w:p>
            <w:pPr>
              <w:wordWrap w:val="0"/>
              <w:spacing w:before="0" w:after="0" w:line="378" w:lineRule="exact"/>
              <w:jc w:val="left"/>
            </w:pPr>
            <w:r>
              <w:rPr>
                <w:rFonts w:ascii="宋体" w:hAnsi="宋体" w:eastAsia="宋体" w:cs="宋体"/>
                <w:color w:val="000000"/>
                <w:sz w:val="21"/>
              </w:rPr>
              <w:t>设计方案简洁明了、内容全面、布置合理得10分；</w:t>
            </w:r>
          </w:p>
          <w:p>
            <w:pPr>
              <w:wordWrap w:val="0"/>
              <w:spacing w:before="0" w:after="0" w:line="378" w:lineRule="exact"/>
              <w:jc w:val="left"/>
            </w:pPr>
            <w:r>
              <w:rPr>
                <w:rFonts w:ascii="宋体" w:hAnsi="宋体" w:eastAsia="宋体" w:cs="宋体"/>
                <w:color w:val="000000"/>
                <w:sz w:val="21"/>
              </w:rPr>
              <w:t>设计方案较简洁、较清晰、较合理的得7分；</w:t>
            </w:r>
          </w:p>
          <w:p>
            <w:pPr>
              <w:wordWrap w:val="0"/>
              <w:spacing w:before="0" w:after="0" w:line="378" w:lineRule="exact"/>
              <w:jc w:val="left"/>
            </w:pPr>
            <w:r>
              <w:rPr>
                <w:rFonts w:ascii="宋体" w:hAnsi="宋体" w:eastAsia="宋体" w:cs="宋体"/>
                <w:color w:val="000000"/>
                <w:sz w:val="21"/>
              </w:rPr>
              <w:t>设计方案不清晰，仅基本满足需求的得4分；</w:t>
            </w:r>
          </w:p>
          <w:p>
            <w:pPr>
              <w:wordWrap w:val="0"/>
              <w:spacing w:before="0" w:after="0" w:line="378" w:lineRule="exact"/>
              <w:jc w:val="left"/>
            </w:pPr>
            <w:r>
              <w:rPr>
                <w:rFonts w:ascii="宋体" w:hAnsi="宋体" w:eastAsia="宋体" w:cs="宋体"/>
                <w:color w:val="000000"/>
                <w:sz w:val="21"/>
              </w:rPr>
              <w:t>不提供模板或无法展示的不得分。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业绩</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18</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color w:val="000000"/>
                <w:sz w:val="21"/>
              </w:rPr>
              <w:t>提供供应商近三年（自2020年1月1日起，以合同签订时间为准）类似项目业绩情况：每提供一份类似业绩加3分，最高得18分。（提供合同复印件并加盖公章，原件备查）。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5" w:type="dxa"/>
            <w:tcMar>
              <w:top w:w="20" w:type="dxa"/>
              <w:left w:w="20" w:type="dxa"/>
              <w:bottom w:w="20" w:type="dxa"/>
              <w:right w:w="20" w:type="dxa"/>
            </w:tcMar>
            <w:vAlign w:val="center"/>
          </w:tcPr>
          <w:p>
            <w:pPr>
              <w:wordWrap w:val="0"/>
              <w:spacing w:line="378" w:lineRule="exact"/>
              <w:jc w:val="center"/>
            </w:pPr>
            <w:r>
              <w:rPr>
                <w:rFonts w:ascii="宋体" w:hAnsi="宋体" w:eastAsia="宋体" w:cs="宋体"/>
                <w:color w:val="000000"/>
                <w:sz w:val="21"/>
              </w:rPr>
              <w:t>增值服务</w:t>
            </w:r>
          </w:p>
        </w:tc>
        <w:tc>
          <w:tcPr>
            <w:tcW w:w="720" w:type="dxa"/>
            <w:tcMar>
              <w:top w:w="20" w:type="dxa"/>
              <w:left w:w="20" w:type="dxa"/>
              <w:bottom w:w="20" w:type="dxa"/>
              <w:right w:w="20" w:type="dxa"/>
            </w:tcMar>
            <w:vAlign w:val="center"/>
          </w:tcPr>
          <w:p>
            <w:pPr>
              <w:wordWrap w:val="0"/>
              <w:jc w:val="center"/>
            </w:pPr>
            <w:r>
              <w:rPr>
                <w:rFonts w:ascii="宋体" w:hAnsi="宋体" w:eastAsia="宋体" w:cs="宋体"/>
                <w:color w:val="000000"/>
                <w:sz w:val="21"/>
              </w:rPr>
              <w:t>6</w:t>
            </w:r>
          </w:p>
        </w:tc>
        <w:tc>
          <w:tcPr>
            <w:tcW w:w="7350" w:type="dxa"/>
            <w:tcMar>
              <w:top w:w="20" w:type="dxa"/>
              <w:left w:w="20" w:type="dxa"/>
              <w:bottom w:w="20" w:type="dxa"/>
              <w:right w:w="20" w:type="dxa"/>
            </w:tcMar>
            <w:vAlign w:val="top"/>
          </w:tcPr>
          <w:p>
            <w:pPr>
              <w:wordWrap w:val="0"/>
              <w:spacing w:line="378" w:lineRule="exact"/>
              <w:jc w:val="left"/>
            </w:pPr>
            <w:r>
              <w:rPr>
                <w:rFonts w:ascii="宋体" w:hAnsi="宋体" w:eastAsia="宋体" w:cs="宋体"/>
                <w:color w:val="000000"/>
                <w:sz w:val="21"/>
              </w:rPr>
              <w:t>根据供应商针对本项目提供的增值服务进行打分，每提供一条增值服务经评审委员会认定有效的加2分，最高得6分。（提供增值服务承诺书原件并加盖公章）</w:t>
            </w:r>
          </w:p>
        </w:tc>
      </w:tr>
    </w:tbl>
    <w:p>
      <w:pPr>
        <w:pStyle w:val="4"/>
        <w:rPr>
          <w:rFonts w:hint="eastAsia"/>
          <w:sz w:val="28"/>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OGEzNzQyZTNmMTIzNTRkNjI5ZTc0ZTBiMmZjNWMifQ=="/>
  </w:docVars>
  <w:rsids>
    <w:rsidRoot w:val="63775F3F"/>
    <w:rsid w:val="0B36381E"/>
    <w:rsid w:val="3F7BB366"/>
    <w:rsid w:val="63775F3F"/>
    <w:rsid w:val="766AC071"/>
    <w:rsid w:val="76A71213"/>
    <w:rsid w:val="7CADDEB5"/>
    <w:rsid w:val="7FEF69C2"/>
    <w:rsid w:val="8EB981F3"/>
    <w:rsid w:val="F73B709B"/>
    <w:rsid w:val="FD968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首行缩进"/>
    <w:basedOn w:val="1"/>
    <w:qFormat/>
    <w:uiPriority w:val="99"/>
    <w:pPr>
      <w:spacing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853</Words>
  <Characters>879</Characters>
  <Lines>0</Lines>
  <Paragraphs>0</Paragraphs>
  <TotalTime>0</TotalTime>
  <ScaleCrop>false</ScaleCrop>
  <LinksUpToDate>false</LinksUpToDate>
  <CharactersWithSpaces>880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2023-05-08T03:49:00Z</dcterms:created>
  <dc:creator>魏雪艳</dc:creator>
  <cp:lastModifiedBy>ＹＡＮ</cp:lastModifiedBy>
  <cp:lastPrinted>2023-05-09T01:55:00Z</cp:lastPrinted>
  <dcterms:modified xsi:type="dcterms:W3CDTF">2023-11-14T03:15:39Z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CD1520A5F2E34C6FBD113C809033929A_13</vt:lpwstr>
  </property>
</Properties>
</file>